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B0C2" w14:textId="77777777" w:rsidR="00D667B4" w:rsidRDefault="00D667B4">
      <w:pPr>
        <w:spacing w:after="0" w:line="240" w:lineRule="auto"/>
        <w:ind w:right="71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</w:pPr>
    </w:p>
    <w:p w14:paraId="66ECC83C" w14:textId="77777777" w:rsidR="00D667B4" w:rsidRDefault="00D667B4">
      <w:pPr>
        <w:spacing w:after="0" w:line="240" w:lineRule="auto"/>
        <w:ind w:right="71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</w:pPr>
    </w:p>
    <w:p w14:paraId="24CA83C2" w14:textId="77777777" w:rsidR="00D667B4" w:rsidRDefault="00D667B4">
      <w:pPr>
        <w:spacing w:after="0" w:line="240" w:lineRule="auto"/>
        <w:ind w:right="71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</w:pPr>
    </w:p>
    <w:p w14:paraId="082D7AC7" w14:textId="77777777" w:rsidR="00D667B4" w:rsidRDefault="00D667B4">
      <w:pPr>
        <w:spacing w:after="0" w:line="240" w:lineRule="auto"/>
        <w:ind w:right="71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</w:pPr>
    </w:p>
    <w:p w14:paraId="53CBDAD7" w14:textId="77777777" w:rsidR="00D667B4" w:rsidRDefault="00CA6FB7">
      <w:pPr>
        <w:spacing w:after="0" w:line="240" w:lineRule="auto"/>
        <w:ind w:right="71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  <w:t>GENÇLİK VE SPOR BAKANLIĞININ GENÇLİK KAMPLARINA KATILMA ŞARTLARI VE DİKKAT EDİLMESİ GEREKEN HUSUSLAR</w:t>
      </w:r>
    </w:p>
    <w:p w14:paraId="4E974CEF" w14:textId="77777777" w:rsidR="00D667B4" w:rsidRDefault="00D667B4">
      <w:pPr>
        <w:spacing w:after="0" w:line="240" w:lineRule="auto"/>
        <w:ind w:right="71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tr-TR"/>
        </w:rPr>
      </w:pPr>
    </w:p>
    <w:p w14:paraId="1D6F5D12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Gençlik Kampları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lise öğrencilerine</w:t>
      </w:r>
      <w:r>
        <w:rPr>
          <w:rFonts w:ascii="Times New Roman" w:hAnsi="Times New Roman" w:cs="Times New Roman"/>
          <w:sz w:val="24"/>
          <w:szCs w:val="24"/>
        </w:rPr>
        <w:t xml:space="preserve"> yönelik planlanmış olup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14-15</w:t>
      </w:r>
      <w:r>
        <w:rPr>
          <w:rFonts w:ascii="Times New Roman" w:hAnsi="Times New Roman" w:cs="Times New Roman"/>
          <w:sz w:val="24"/>
          <w:szCs w:val="24"/>
        </w:rPr>
        <w:t xml:space="preserve"> yaş arası öğrenciler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deniz kamplarına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16-17</w:t>
      </w:r>
      <w:r>
        <w:rPr>
          <w:rFonts w:ascii="Times New Roman" w:hAnsi="Times New Roman" w:cs="Times New Roman"/>
          <w:sz w:val="24"/>
          <w:szCs w:val="24"/>
        </w:rPr>
        <w:t xml:space="preserve"> yaş arası öğrenciler ise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doğa kamplarına</w:t>
      </w:r>
      <w:r>
        <w:rPr>
          <w:rFonts w:ascii="Times New Roman" w:hAnsi="Times New Roman" w:cs="Times New Roman"/>
          <w:sz w:val="24"/>
          <w:szCs w:val="24"/>
        </w:rPr>
        <w:t xml:space="preserve"> başvurabileceklerdir.</w:t>
      </w:r>
    </w:p>
    <w:p w14:paraId="545232C3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Başvuru formu eksiksiz ve doğru bir şekilde doldurulacaktır. Eksik veya yanlış bilgi verenlerin başvuruları kabul edilmeyecektir.</w:t>
      </w:r>
    </w:p>
    <w:p w14:paraId="707237A8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Öğrencilerden kamp süresince kampa uyum göstermeleri beklenmektedir. Uyum gösteremeyen öğrenciler için tasarruf/takdir kamp yönetimince değerlendirilecek, </w:t>
      </w:r>
      <w:r>
        <w:rPr>
          <w:rFonts w:ascii="Times New Roman" w:eastAsia="Calibri" w:hAnsi="Times New Roman" w:cs="Times New Roman"/>
          <w:sz w:val="24"/>
          <w:szCs w:val="24"/>
        </w:rPr>
        <w:t xml:space="preserve">olumsuz davranışlarda bulunanlar kamptan uzaklaştırılacak ve ailesine bilgi verilecektir. </w:t>
      </w:r>
    </w:p>
    <w:p w14:paraId="68CE198C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Yolculuklarda ve kamp süresince alkol, sigara vb. zararlı madde kullanımına izin verilmeyecektir. </w:t>
      </w:r>
    </w:p>
    <w:p w14:paraId="45B6F0E4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Kamp koşullarının engelliler için uygun olmamasından dolayı engelli öğrenciler kamplara kabul edilmeyecektir.</w:t>
      </w:r>
    </w:p>
    <w:p w14:paraId="16443D49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Kronik hastalığı (epilepsi, kalp, astım, şeker, çölyak vb.) olan öğrenciler kamplara kabul edilmemektedir. Kampa katılıp hastalığı sonradan tespit edilen öğrenciler ebeveyn/velisi haberdar edilerek kamptan uzaklaştırılacak, sorumluluğu ebeveyn/veliye ait olacaktır. Bu öğrenciler sonraki dönemlerde düzenlenecek kamplara kesinlikle alınmayacaktır.</w:t>
      </w:r>
    </w:p>
    <w:p w14:paraId="52EFE6EB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Öğrencilerin asgari düzeyde Türkçe konuşma-anlama yeterliliğine sahip olmaları gerekmektedir.</w:t>
      </w:r>
    </w:p>
    <w:p w14:paraId="587AB790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Öğrenciler için kamp süresince geçerli olacak bireysel sağlık ve seyahat sigortası ebeveyn/veli tarafından yaptırılıp kamp girişinde yetkililere teslim edilecektir. </w:t>
      </w:r>
    </w:p>
    <w:p w14:paraId="76E0E241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Öğrenciler ebeveynleri/velileri tarafından kamp yerindeki görevlilere teslim edilip kamp bitiminde kamp görevlilerinden teslim alınacaktır.</w:t>
      </w:r>
    </w:p>
    <w:p w14:paraId="2C54DABD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Formlar eksiksiz şekilde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 nüsha halinde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hazırlandıktan sonra, başvuru formlarından birisi veli tarafından ıslak imzalı olarak elden bulunduğu ülkedeki ataşelik/müşavirlik ilgili birimine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nüfus cüzdanı fotokopisi </w:t>
      </w:r>
      <w:r>
        <w:rPr>
          <w:rFonts w:ascii="Times New Roman" w:eastAsia="Calibri" w:hAnsi="Times New Roman" w:cs="Times New Roman"/>
          <w:sz w:val="24"/>
          <w:szCs w:val="24"/>
        </w:rPr>
        <w:t xml:space="preserve">(vatandaş olmayan gençler için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pasaport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fotokopisi</w:t>
      </w:r>
      <w:r>
        <w:rPr>
          <w:rFonts w:ascii="Times New Roman" w:eastAsia="Calibri" w:hAnsi="Times New Roman" w:cs="Times New Roman"/>
          <w:sz w:val="24"/>
          <w:szCs w:val="24"/>
        </w:rPr>
        <w:t>)  başvuru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formuna eklenerek teslim edilecektir. Diğer nüsha ise ıslak imzalı olarak Kampa giriş esnasında ilgililere ibraz edilmek üzere “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Kamp Başvuru Formu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ve ”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Nüfus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Cüzdanının aslı </w:t>
      </w:r>
      <w:r>
        <w:rPr>
          <w:rFonts w:ascii="Times New Roman" w:eastAsia="Calibri" w:hAnsi="Times New Roman" w:cs="Times New Roman"/>
          <w:sz w:val="24"/>
          <w:szCs w:val="24"/>
        </w:rPr>
        <w:t xml:space="preserve">(vatandaş olmayan gençler için pasaport)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katılımcı gençler tarafından mutlaka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yanlarında getirilecektir.</w:t>
      </w:r>
    </w:p>
    <w:p w14:paraId="4E58598E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Sosyal medya paylaşım iznini de içeren ebeveyn/veli tarafından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ıslak imzayla</w:t>
      </w:r>
      <w:r>
        <w:rPr>
          <w:rFonts w:ascii="Times New Roman" w:hAnsi="Times New Roman" w:cs="Times New Roman"/>
          <w:sz w:val="24"/>
          <w:szCs w:val="24"/>
        </w:rPr>
        <w:t xml:space="preserve"> imzalanan izin belgeleri kamp girişinde yetkililere teslim edilmek kaydıyla kampa kabul sağlanacaktır.</w:t>
      </w:r>
    </w:p>
    <w:p w14:paraId="2E706EB5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Kampa katılacak gençler kişisel giysileri (şapka, eşofman, gözlük, havlu terlik vb.) ile temizlik malzemelerini beraberlerinde getireceklerdir.</w:t>
      </w:r>
    </w:p>
    <w:p w14:paraId="2A53F297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Kampa katılacak gençlerin varsa kullandıkları müzik aletlerini yanlarında getirmeleri kampın daha verimli geçmesi açısından faydalı olacaktır.</w:t>
      </w:r>
    </w:p>
    <w:p w14:paraId="718E66B7" w14:textId="77777777" w:rsidR="00D667B4" w:rsidRDefault="00CA6FB7">
      <w:pPr>
        <w:pStyle w:val="ListeParagraf"/>
        <w:numPr>
          <w:ilvl w:val="0"/>
          <w:numId w:val="5"/>
        </w:numPr>
        <w:spacing w:after="0" w:line="240" w:lineRule="auto"/>
        <w:ind w:left="426" w:right="71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Kampa katılacak gençler kamp kurallarını kabul etmiş sayılacaktır. Kamplarla ilgili bilgilere (kamp yerleri, resimleri, özellikleri vb.) aşağıdaki linklerden ulaşabilirsiniz.</w:t>
      </w:r>
    </w:p>
    <w:p w14:paraId="7F076ED7" w14:textId="77777777" w:rsidR="00D667B4" w:rsidRDefault="00D667B4">
      <w:pPr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B3431C1" w14:textId="77777777" w:rsidR="00D667B4" w:rsidRDefault="00CA6FB7">
      <w:pPr>
        <w:pStyle w:val="ListeParagraf"/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>
          <w:rPr>
            <w:rStyle w:val="Kpr"/>
            <w:rFonts w:ascii="Times New Roman" w:hAnsi="Times New Roman" w:cs="Times New Roman"/>
            <w:sz w:val="24"/>
            <w:szCs w:val="24"/>
          </w:rPr>
          <w:t>https://genclikhizmetleri.gov.tr</w:t>
        </w:r>
      </w:hyperlink>
    </w:p>
    <w:p w14:paraId="6EB6E96F" w14:textId="78C884AC" w:rsidR="00D667B4" w:rsidRPr="003500B8" w:rsidRDefault="00CA6FB7" w:rsidP="003500B8">
      <w:pPr>
        <w:pStyle w:val="ListeParagraf"/>
        <w:spacing w:after="0" w:line="240" w:lineRule="auto"/>
        <w:ind w:left="426" w:right="710" w:hanging="426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>
          <w:rPr>
            <w:rStyle w:val="Kpr"/>
            <w:rFonts w:ascii="Times New Roman" w:hAnsi="Times New Roman" w:cs="Times New Roman"/>
            <w:sz w:val="24"/>
            <w:szCs w:val="24"/>
          </w:rPr>
          <w:t>https://genclikkamplari.gsb.gov.tr/</w:t>
        </w:r>
      </w:hyperlink>
    </w:p>
    <w:sectPr w:rsidR="00D667B4" w:rsidRPr="003500B8">
      <w:footerReference w:type="default" r:id="rId10"/>
      <w:pgSz w:w="11906" w:h="16838"/>
      <w:pgMar w:top="142" w:right="70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4D40" w14:textId="77777777" w:rsidR="00D667B4" w:rsidRDefault="00CA6FB7">
      <w:pPr>
        <w:spacing w:after="0" w:line="240" w:lineRule="auto"/>
      </w:pPr>
      <w:r>
        <w:separator/>
      </w:r>
    </w:p>
  </w:endnote>
  <w:endnote w:type="continuationSeparator" w:id="0">
    <w:p w14:paraId="67B7D27F" w14:textId="77777777" w:rsidR="00D667B4" w:rsidRDefault="00CA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7748B" w14:textId="77777777" w:rsidR="00D667B4" w:rsidRDefault="00D667B4">
    <w:pPr>
      <w:pStyle w:val="AltBilgi"/>
      <w:jc w:val="right"/>
    </w:pPr>
  </w:p>
  <w:p w14:paraId="183E9F16" w14:textId="77777777" w:rsidR="00D667B4" w:rsidRDefault="00CA6FB7">
    <w:pPr>
      <w:pStyle w:val="AltBilgi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14:paraId="3569D760" w14:textId="77777777" w:rsidR="00D667B4" w:rsidRDefault="00D667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8344" w14:textId="77777777" w:rsidR="00D667B4" w:rsidRDefault="00CA6FB7">
      <w:pPr>
        <w:spacing w:after="0" w:line="240" w:lineRule="auto"/>
      </w:pPr>
      <w:r>
        <w:separator/>
      </w:r>
    </w:p>
  </w:footnote>
  <w:footnote w:type="continuationSeparator" w:id="0">
    <w:p w14:paraId="784884B3" w14:textId="77777777" w:rsidR="00D667B4" w:rsidRDefault="00CA6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4B0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8028F"/>
    <w:multiLevelType w:val="hybridMultilevel"/>
    <w:tmpl w:val="FFFFFFFF"/>
    <w:lvl w:ilvl="0" w:tplc="8A3EF9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7A23B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340F3"/>
    <w:multiLevelType w:val="hybridMultilevel"/>
    <w:tmpl w:val="FFFFFFFF"/>
    <w:lvl w:ilvl="0" w:tplc="807CB6C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C1962"/>
    <w:multiLevelType w:val="hybridMultilevel"/>
    <w:tmpl w:val="FFFFFFFF"/>
    <w:lvl w:ilvl="0" w:tplc="B1D01A9C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10371"/>
    <w:multiLevelType w:val="hybridMultilevel"/>
    <w:tmpl w:val="FFFFFFFF"/>
    <w:lvl w:ilvl="0" w:tplc="8CEE14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928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4755">
    <w:abstractNumId w:val="0"/>
  </w:num>
  <w:num w:numId="2" w16cid:durableId="1564943491">
    <w:abstractNumId w:val="6"/>
  </w:num>
  <w:num w:numId="3" w16cid:durableId="1551381976">
    <w:abstractNumId w:val="2"/>
  </w:num>
  <w:num w:numId="4" w16cid:durableId="1933664500">
    <w:abstractNumId w:val="4"/>
  </w:num>
  <w:num w:numId="5" w16cid:durableId="2140872923">
    <w:abstractNumId w:val="5"/>
  </w:num>
  <w:num w:numId="6" w16cid:durableId="989939964">
    <w:abstractNumId w:val="3"/>
  </w:num>
  <w:num w:numId="7" w16cid:durableId="287205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7B4"/>
    <w:rsid w:val="00194200"/>
    <w:rsid w:val="003500B8"/>
    <w:rsid w:val="00CA6FB7"/>
    <w:rsid w:val="00CE7AF9"/>
    <w:rsid w:val="00D667B4"/>
    <w:rsid w:val="00F4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E8DF"/>
  <w15:docId w15:val="{AFE6F36D-4032-834C-B9BA-4BA8F7F8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  <w:spacing w:after="0" w:line="240" w:lineRule="auto"/>
    </w:pPr>
  </w:style>
  <w:style w:type="paragraph" w:styleId="DipnotMetni">
    <w:name w:val="footnote text"/>
    <w:link w:val="DipnotMetniChar"/>
    <w:semiHidden/>
    <w:pPr>
      <w:spacing w:after="0" w:line="240" w:lineRule="auto"/>
    </w:pPr>
    <w:rPr>
      <w:sz w:val="20"/>
      <w:szCs w:val="20"/>
    </w:rPr>
  </w:style>
  <w:style w:type="paragraph" w:styleId="SonNotMetni">
    <w:name w:val="endnote text"/>
    <w:link w:val="SonNotMetniChar"/>
    <w:semiHidden/>
    <w:pPr>
      <w:spacing w:after="0" w:line="240" w:lineRule="auto"/>
    </w:pPr>
    <w:rPr>
      <w:sz w:val="20"/>
      <w:szCs w:val="20"/>
    </w:rPr>
  </w:style>
  <w:style w:type="character" w:styleId="SatrNumaras">
    <w:name w:val="line number"/>
    <w:basedOn w:val="VarsaylanParagrafYazTipi"/>
    <w:semiHidden/>
  </w:style>
  <w:style w:type="character" w:styleId="Kpr">
    <w:name w:val="Hyperlink"/>
    <w:basedOn w:val="VarsaylanParagrafYazTipi"/>
    <w:rPr>
      <w:color w:val="0563C1" w:themeColor="hyperlink"/>
      <w:u w:val="single"/>
    </w:rPr>
  </w:style>
  <w:style w:type="character" w:customStyle="1" w:styleId="BalonMetniChar">
    <w:name w:val="Balon Metni Char"/>
    <w:basedOn w:val="VarsaylanParagrafYazTipi"/>
    <w:link w:val="BalonMetni"/>
    <w:semiHidden/>
    <w:rPr>
      <w:rFonts w:ascii="Segoe UI" w:hAnsi="Segoe UI" w:cs="Segoe UI"/>
      <w:sz w:val="18"/>
      <w:szCs w:val="18"/>
    </w:rPr>
  </w:style>
  <w:style w:type="character" w:customStyle="1" w:styleId="stBilgiChar">
    <w:name w:val="Üst Bilgi Char"/>
    <w:basedOn w:val="VarsaylanParagrafYazTipi"/>
    <w:link w:val="stBilgi"/>
  </w:style>
  <w:style w:type="character" w:customStyle="1" w:styleId="AltBilgiChar">
    <w:name w:val="Alt Bilgi Char"/>
    <w:basedOn w:val="VarsaylanParagrafYazTipi"/>
    <w:link w:val="AltBilgi"/>
  </w:style>
  <w:style w:type="character" w:styleId="DipnotBavurusu">
    <w:name w:val="footnote reference"/>
    <w:semiHidden/>
    <w:rPr>
      <w:vertAlign w:val="superscript"/>
    </w:rPr>
  </w:style>
  <w:style w:type="character" w:customStyle="1" w:styleId="DipnotMetniChar">
    <w:name w:val="Dipnot Metni Char"/>
    <w:link w:val="DipnotMetni"/>
    <w:semiHidden/>
    <w:rPr>
      <w:sz w:val="20"/>
      <w:szCs w:val="20"/>
    </w:rPr>
  </w:style>
  <w:style w:type="character" w:styleId="SonNotBavurusu">
    <w:name w:val="endnote reference"/>
    <w:semiHidden/>
    <w:rPr>
      <w:vertAlign w:val="superscript"/>
    </w:rPr>
  </w:style>
  <w:style w:type="character" w:customStyle="1" w:styleId="SonNotMetniChar">
    <w:name w:val="Son Not Metni Char"/>
    <w:link w:val="SonNotMetni"/>
    <w:semiHidden/>
    <w:rPr>
      <w:sz w:val="20"/>
      <w:szCs w:val="20"/>
    </w:rPr>
  </w:style>
  <w:style w:type="table" w:styleId="TabloBasit1">
    <w:name w:val="Table Simple 1"/>
    <w:basedOn w:val="NormalTablo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oKlavuzu">
    <w:name w:val="Table Grid"/>
    <w:basedOn w:val="NormalTablo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-Vurgu6">
    <w:name w:val="Grid Table 6 Colorful Accent 6"/>
    <w:basedOn w:val="NormalTablo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2"/>
      </w:tcPr>
    </w:tblStylePr>
    <w:tblStylePr w:type="band1Horz">
      <w:tblPr/>
      <w:tcPr>
        <w:shd w:val="clear" w:color="auto" w:fill="E2EFD9" w:themeFill="accent6" w:themeFillTint="32"/>
      </w:tcPr>
    </w:tblStylePr>
  </w:style>
  <w:style w:type="table" w:styleId="KlavuzTablo6Renkli-Vurgu1">
    <w:name w:val="Grid Table 6 Colorful Accent 1"/>
    <w:basedOn w:val="NormalTablo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6" w:themeFill="accent1" w:themeFillTint="32"/>
      </w:tcPr>
    </w:tblStylePr>
    <w:tblStylePr w:type="band1Horz">
      <w:tblPr/>
      <w:tcPr>
        <w:shd w:val="clear" w:color="auto" w:fill="DEEBF6" w:themeFill="accent1" w:themeFillTint="3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clikhizmetleri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enclikkamplari.gsb.gov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191B8-5C7E-4164-8E11-1400EFDF0A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YOYEGM106</dc:creator>
  <cp:lastModifiedBy>Brüksel Eğitim Müşavirliği</cp:lastModifiedBy>
  <cp:revision>4</cp:revision>
  <cp:lastPrinted>2025-01-22T14:40:00Z</cp:lastPrinted>
  <dcterms:created xsi:type="dcterms:W3CDTF">2025-03-15T09:10:00Z</dcterms:created>
  <dcterms:modified xsi:type="dcterms:W3CDTF">2025-03-27T09:56:00Z</dcterms:modified>
</cp:coreProperties>
</file>